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w:t>
      </w:r>
    </w:p>
    <w:p>
      <w:r>
        <w:t>Bundesgericht (BGE), 1995-12-27, DE</w:t>
      </w:r>
    </w:p>
    <w:p>
      <w:r>
        <w:rPr>
          <w:b/>
        </w:rPr>
        <w:t xml:space="preserve">Quelle: </w:t>
      </w:r>
      <w:r>
        <w:t>https://mcp.opencaselaw.ch/entscheid/bge_122 III 5</w:t>
      </w:r>
    </w:p>
    <w:p>
      <w:r>
        <w:t>FR: ATF 122 III 5</w:t>
      </w:r>
    </w:p>
    <w:p>
      <w:r>
        <w:t>IT: DTF 122 III 5</w:t>
      </w:r>
    </w:p>
    <w:p>
      <w:pPr>
        <w:pStyle w:val="Heading2"/>
      </w:pPr>
      <w:r>
        <w:t>Regeste</w:t>
      </w:r>
    </w:p>
    <w:p>
      <w:r>
        <w:t>Regeste Unerlaubte Handlung; Genugtuung; Verjährung (Art. 41 ff., Art. 49 Abs. 1 sowie Art. 60 Abs. 2 OR). Anwendung der längeren strafrechtlichen Verjährungsfrist von Art. 60 Abs. 2 OR auf selbständige Genugtuungsansprüche von Angehörigen (E. 2).</w:t>
      </w:r>
    </w:p>
    <w:p>
      <w:pPr>
        <w:pStyle w:val="Heading2"/>
      </w:pPr>
      <w:r>
        <w:t>Erwägungen</w:t>
      </w:r>
    </w:p>
    <w:p>
      <w:r>
        <w:rPr>
          <w:b/>
        </w:rPr>
        <w:t>E. 2</w:t>
      </w:r>
    </w:p>
    <w:p>
      <w:r>
        <w:t>Die Vorinstanz verwirft die Einrede der Verjährung des eingeklagten Anspruchs. Sie legt Art. 60 Abs. 2 OR dahingehend aus, dass die längere strafrechtliche Verjährungsfrist nicht nur auf seiten des Täters, sondern auch auf seiten des Ansprechers zur Anwendung gelange. Der Beklagte gibt diese Auffassung als bundesrechtswidrig aus: Einerseits komme Art. 60 Abs. 2 OR nur bei identischen Ansprüchen zur Anwendung; dies treffe im vorliegenden Fall jedoch nicht zu, da die Kläger eigene Ansprüche im Sinne von Art. 49 OR geltend machten. Anderseits führe die Ausdehnung der Verjährung auf seiten der Schädiger nicht auch dazu, Drittgeschädigten eine Verlängerung der Verjährungsfrist im Sinne von Art. 60 Abs. 2 OR zuzugestehen. a) Wer in seiner Persönlichkeit widerrechtlich verletzt wird, hat Anspruch auf Leistung einer Genugtuung, sofern die Schwere der Verletzung es BGE 122 III 5 S. 7 rechtfertigt und diese nicht anders wiedergutgemacht worden ist ( Art. 49 Abs. 1 OR ). In seiner neuesten Rechtsprechung hat das Bundesgericht einen selbständigen Genugtuungsanspruch von Ehegatten und Nachkommen bejaht, deren Partner bzw. Vater durch eine unerlaubte Handlung schwer invalid geworden ist. Voraussetzung dafür ist, dass die Angehörigen gleich oder schwerer betroffen sind, als im Fall der Tötung ( BGE 117 II 50 E. 3 und 4, BGE 112 II 220 und 226; vgl. SCHNYDER, Kommentar zum Schweizerischen Privatrecht, Bd. I [ Art. 1-529 OR ], N. 1 zu Art. 47 OR ; TERCIER, L'évolution récente de la réparation du tort moral dans la responsabilité civile et l'assurance-accidents, SJZ 80/1984, S. 51 ff., S. 55; TERCIER, La réparation du tort moral, Strassenverkehrstagung 1988, S. 24 ff.; HÜTTE, Genugtuungsrecht im Wandel, SJZ 84/1988, S. 169 ff.). Insoweit sind die persönlichen Verhältnisse des klagenden Angehörigen absolute Rechte und daher des selbständigen Schutzes fähig. Klagt der Angehörige aus Art. 49 OR , macht er eigene Rechte geltend und nicht solche des schwer verletzten Ehepartners oder Elternteils. Vor diesem Hintergrund ist die Frage der Verjährungsfrist zu betrachten. b) Nach Art. 60 Abs. 1 OR verjährt der Anspruch auf Schadenersatz oder Genugtuung binnen Jahresfrist, gerechnet von der tatsächlichen Kenntnis des Geschädigten von Schaden und Person des Ersatzpflichtigen an, jedenfalls aber nach zehn Jahren seit der schädigenden Handlung. Wird die Klage aus einer strafbaren Handlung hergeleitet, gilt die längere strafrechtliche Verjährungsfrist ( Art. 60 Abs. 2 OR ). Sinn der Ausnahmeregelung von Absatz 2 ist die Harmonisierung der Vorschriften des Zivil- und Strafrechts im Bereich der Verjährung. Denn es wäre unbefriedigend, wenn der Zivilanspruch vor dem Strafanspruch verjähren würde ( BGE 100 II 332 E. 2a; weitere Hinweise bei BREHM, Berner Kommentar, N. 67 zu Art. 60 OR ). Das Bundesgericht hat denn auch seine bisherige Praxis aufgegeben, wonach Art. 60 Abs. 2 OR grundsätzlich nur auf die Forderung gegen den Täter selbst, nicht aber auf den Ersatzanspruch gegen Dritte anwendbar sei, die zivilrechtlich für den Schaden einzustehen haben ( BGE 112 II 172 E. II/2c S. 189, BGE 111 II 429 E. 2d S. 437 ff.). Namentlich hat es die längere Frist auf juristische Personen ausgedehnt, weil diese für Organe als Teil ihrer selbst haften (vgl. dazu BREHM, a.a.O., N. 96 ff. zu Art. 60 OR ; OFTINGER/STARK, Schweizerisches Haftpflichtrecht, Band II/1, 4. Aufl. 1987, S. 113 Fn. 539; REY, Ausservertragliches Haftpflichtrecht, Zürich 1995, S. BGE 122 III 5 S. 8 354 Rz. 1692; DOMENICO ACOCELLA, Die Verjährung in der neueren Rechtsprechung des Bundesgerichts, SJZ 86/1990, S. 333 ff., S. 336 mit weiteren Nachweisen in Fn. 35). Im vorliegenden Fall stellt sich die Rechtsfrage indessen anders. Hier geht es um die Anwendung der strafrechtlichen Verjährungsfrist auf der Seite des Anspruchsberechtigten, insbesondere der Angehörigen. Das Bundesgericht hatte die Frage bis anhin nicht zu entscheiden. c) Voraussetzungen der längeren Verjährungsfrist von Art. 60 Abs. 2 OR sind das Vorliegen einer strafbaren Handlung einerseits sowie eines adäquaten Kausalzusammenhangs zwischen der strafbaren Handlung und der dem Zivilanspruch zugrundeliegenden Beeinträchtigung, insbesondere der seelischen Unbill anderseits (vgl. TERCIER, Le nouveau droit de la personnalité, S. 265 Rz. 2014; KURT JOSEPH STEINER, Verjährung haftpflichtrechtlicher Ansprüche aus Straftat [ Art. 60 Abs. 2 OR ], Diss. Freiburg 1986, S. 53; REY, a.a.O., S. 349 Rz. 1667). Dabei müssen sich der zivil- wie der strafrechtliche Tatbestand auf dieselbe Handlung beziehen (WERNER SCHWANDER, Die Verjährung ausservertraglicher und vertraglicher Schadenersatzforderungen, Diss. Freiburg 1962, S. 27 f.). Weiter wird verlangt, dass das beeinträchtigte Rechtsgut zum Kreis der durch die strafbare Handlung geschützten Objekte gehört ( BGE 71 II 147 E. 7b S. 156; KURT JOSEPH STEINER, a.a.O., S. 54 mit weiteren Hinweisen in Fn. 82). Insoweit wird vereinzelt in der Literatur gefordert, der Zivilkläger müsse zum Kreis der durch den Straftatbestand geschützten Subjekte gehören (GIRSBERGER, Die Verjährung der aus einer strafbaren Handlung hergeleiteten Zivilansprüche, SJZ 58/1962, S. 213 ff., S. 216). d) Aus der Gesetzessystematik geht hervor, dass sich die Verjährung der Ansprüche aus Art. 49 OR nach den für diesen Bereich geltenden Verjährungsbestimmungen, mithin nach Art. 60 OR richtet (so die Botschaft zur Änderung von Art. 49 OR vom 5. Mai 1982, BBl 1982 II 636 ff., 682; PEDRAZZINI/OBERHOLZER, Grundriss des Personenrechts, 4. Aufl. 1993, S. 160; HÜTTE, Die Genugtuung, 2. Aufl., Stand Juli 1994, 0/7 Ziff. 2.10). Infolgedessen kommt allgemein bei sämtlichen Ansprüchen aus Art. 41 ff. OR , die auf eine strafbare Handlung zurückzuführen sind und für welche der Kausalzusammenhang zwischen dem Zivilanspruch sowie der strafbaren Handlung gegeben ist, auch die längere Verjährungsfrist nach Art. 60 Abs. 2 OR zur Anwendung. Dies muss konsequenterweise auch für Ansprüche von Angehörigen gelten, die aus der Verletzung einer ihnen nahestehenden Person eigene Ansprüche geltend machen. BGE 122 III 5 S. 9 Diese Folgerung wird gestützt durch den engen Zusammenhang der Artikel 45 Abs. 3, 47 und 49 OR. Einerseits wird auf den Versorgerschaden, der in Art. 45 Abs. 3 OR geregelt ist, ebenfalls Art. 60 Abs. 2 OR angewendet (ZEN-RUFFINEN, La perte de soutien, S. 145 f., der die Anwendbarkeit von Art. 60 Abs. 2 OR allerdings nicht weiter begründet); insoweit beurteilen sich die Voraussetzungen des Haftpflichtanspruchs des Angehörigen nach der Rechtslage des Unfallopfers gegenüber dem Schädiger (OFTINGER/STARK, Schweizerisches Haftpflichtrecht, Band I, 5. Aufl. 1995, S. 335 Rz. 262). Anderseits wird Art. 47 OR als Sonderregel zu Art. 49 OR betrachtet. Letztere Norm umschreibt generell die Voraussetzungen für die Leistung einer Genugtuung, welche aus einer Verletzung in den persönlichen Verhältnissen beansprucht wird ( BGE 89 II 396 ; BREHM, a.a.O., N. 5 zu Art. 47 OR ; SCHNYDER, a.a.O., N. 1 zu Art. 47 OR ). Dass die beiden Bestimmungen von Art. 47 und Art. 49 OR aufgrund ihrer Regelungsmaterie zusammengehören, geht auch daraus hervor, dass im Rahmen der Revision des Haftpflichtrechts erwogen wird, die heutigen Art. 47 und Art. 49 OR in einer einzigen Norm zu vereinigen (Nachweise bei HAUSHEER, in ZBJV 130/1994, S. 286). Aus dem Gesagten folgt für die zu beurteilende Verjährungsfrage, dass aus Gründen der Rechtssicherheit, Gerechtigkeit und Praktikabilität sämtliche Ansprüche aus unerlaubten, strafbaren Handlungen gleich zu behandeln sind. Dies gilt unabhängig davon, ob der Angehörige eine Genugtuung bei Tötung gestützt auf Art. 47 OR oder bei Körperverletzung nach Art. 49 OR geltend macht oder er infolge des Verlusts seines Versorgers den Ersatz von Unterstützungsleistungen verlangt. Überdies rechtfertigt sich auch aus Gründen des Gläubigerschutzes und der Harmonisierung der verjährungsrechtlichen Bestimmungen, den Anspruch von Angehörigen aus Art. 49 OR der gleichen Verjährungsfrist zu unterstellen wie jenen des Direktgeschädigten. Dafür spricht schliesslich auch die Praxisänderung des Bundesgerichts, mit welcher es die Anwendung der längeren Frist auf der Täterseite auch auf juristische Personen ausgedehnt und die enge Anwendung von Art. 60 Abs. 2 OR in verschiedener Hinsicht aufgegeben hat. Damit die längere strafrechtliche Verjährungsfrist zur Anwendung gelangt, ist allerdings immer erforderlich, dass der zivil- und strafrechtliche Tatbestand sich auf die gleiche Handlung beziehen sowie die strafrechtliche Handlung kausal für die Verletzung der Persönlichkeit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